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AD76" w14:textId="77777777" w:rsidR="00A838DE" w:rsidRPr="00E967AC" w:rsidRDefault="00E967AC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color w:val="FF0000"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p w14:paraId="102B671B" w14:textId="66250F6B" w:rsidR="0016234F" w:rsidRPr="0016234F" w:rsidRDefault="0016234F" w:rsidP="008159EE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DC0E73">
        <w:rPr>
          <w:rFonts w:eastAsiaTheme="minorEastAsia" w:cs="Calibri,Bold"/>
          <w:b/>
          <w:bCs/>
          <w:sz w:val="24"/>
          <w:szCs w:val="24"/>
          <w:lang w:eastAsia="en-GB"/>
        </w:rPr>
        <w:t>Director</w:t>
      </w:r>
      <w:r w:rsidR="00AC2687">
        <w:rPr>
          <w:rFonts w:eastAsiaTheme="minorEastAsia" w:cs="Calibri,Bold"/>
          <w:b/>
          <w:bCs/>
          <w:sz w:val="24"/>
          <w:szCs w:val="24"/>
          <w:lang w:eastAsia="en-GB"/>
        </w:rPr>
        <w:t xml:space="preserve">, </w:t>
      </w:r>
      <w:r w:rsidR="00DC0E73">
        <w:rPr>
          <w:rFonts w:eastAsiaTheme="minorEastAsia" w:cs="Calibri,Bold"/>
          <w:b/>
          <w:bCs/>
          <w:sz w:val="24"/>
          <w:szCs w:val="24"/>
          <w:lang w:eastAsia="en-GB"/>
        </w:rPr>
        <w:t xml:space="preserve">International </w:t>
      </w:r>
      <w:r w:rsidR="00014A4A">
        <w:rPr>
          <w:rFonts w:eastAsiaTheme="minorEastAsia" w:cs="Calibri,Bold"/>
          <w:b/>
          <w:bCs/>
          <w:sz w:val="24"/>
          <w:szCs w:val="24"/>
          <w:lang w:eastAsia="en-GB"/>
        </w:rPr>
        <w:t>Television Sales</w:t>
      </w:r>
      <w:r w:rsidR="00E967AC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  <w:r w:rsidR="00DC0E73">
        <w:rPr>
          <w:rFonts w:eastAsiaTheme="minorEastAsia" w:cs="Calibri,Bold"/>
          <w:b/>
          <w:bCs/>
          <w:sz w:val="24"/>
          <w:szCs w:val="24"/>
          <w:lang w:eastAsia="en-GB"/>
        </w:rPr>
        <w:t>EMEA</w:t>
      </w:r>
    </w:p>
    <w:p w14:paraId="6C1F251D" w14:textId="77777777" w:rsidR="0016234F" w:rsidRDefault="0016234F" w:rsidP="008159EE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Department: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7139A8">
        <w:rPr>
          <w:rFonts w:eastAsiaTheme="minorEastAsia" w:cs="Calibri,Bold"/>
          <w:b/>
          <w:bCs/>
          <w:sz w:val="24"/>
          <w:szCs w:val="24"/>
          <w:lang w:eastAsia="en-GB"/>
        </w:rPr>
        <w:t>International TV</w:t>
      </w:r>
      <w:r w:rsidR="009B7C9A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Sales </w:t>
      </w:r>
    </w:p>
    <w:p w14:paraId="01DFAD1E" w14:textId="7591E70B" w:rsidR="008159EE" w:rsidRPr="008159EE" w:rsidRDefault="008159EE" w:rsidP="008159EE">
      <w:pPr>
        <w:spacing w:after="0"/>
        <w:rPr>
          <w:rFonts w:ascii="Calibri" w:eastAsia="Times New Roman" w:hAnsi="Calibri" w:cs="Calibri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Reporting: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VP, International TV Sales </w:t>
      </w:r>
      <w:r w:rsidRPr="008159EE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7D011ACE" w14:textId="77777777" w:rsidR="0016234F" w:rsidRDefault="0016234F" w:rsidP="008159EE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  <w:t>London, UK</w:t>
      </w:r>
    </w:p>
    <w:p w14:paraId="2E6E58E9" w14:textId="77777777" w:rsidR="008159EE" w:rsidRDefault="008159EE" w:rsidP="008159EE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14:paraId="5A55A7CD" w14:textId="77777777" w:rsidR="009B7C9A" w:rsidRDefault="009B7C9A" w:rsidP="009B7C9A">
      <w:pPr>
        <w:jc w:val="both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/>
          <w:bCs/>
          <w:sz w:val="24"/>
          <w:szCs w:val="24"/>
          <w:lang w:eastAsia="en-GB"/>
        </w:rPr>
        <w:t>Lionsgate is a leading global filmed entertainment studio and is a major producer and distributor of motion pictures, home entertainment, family entertainment, television programming, video-on-demand and digitally delivered content.</w:t>
      </w:r>
    </w:p>
    <w:p w14:paraId="2313566A" w14:textId="2AB8903F" w:rsidR="00F8353E" w:rsidRDefault="009B7C9A" w:rsidP="009B7C9A">
      <w:pPr>
        <w:jc w:val="both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9B7C9A">
        <w:rPr>
          <w:rFonts w:eastAsiaTheme="minorEastAsia" w:cs="Calibri,Bold"/>
          <w:b/>
          <w:bCs/>
          <w:sz w:val="24"/>
          <w:szCs w:val="24"/>
          <w:lang w:eastAsia="en-GB"/>
        </w:rPr>
        <w:t>Lionsgate</w:t>
      </w:r>
      <w:r w:rsidR="00F8353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has an opening for </w:t>
      </w:r>
      <w:r w:rsidR="00F8353E" w:rsidRPr="00F8353E">
        <w:rPr>
          <w:rFonts w:eastAsiaTheme="minorEastAsia" w:cs="Calibri,Bold"/>
          <w:b/>
          <w:bCs/>
          <w:sz w:val="24"/>
          <w:szCs w:val="24"/>
          <w:lang w:eastAsia="en-GB"/>
        </w:rPr>
        <w:t>its London-based International Television licensing division, covering film and television series in both traditional and new media. The successful can</w:t>
      </w:r>
      <w:r w:rsidR="008159E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didate will be </w:t>
      </w:r>
      <w:r w:rsidR="008159EE" w:rsidRPr="004E0D09">
        <w:rPr>
          <w:rFonts w:eastAsiaTheme="minorEastAsia" w:cs="Calibri,Bold"/>
          <w:b/>
          <w:bCs/>
          <w:sz w:val="24"/>
          <w:szCs w:val="24"/>
          <w:lang w:eastAsia="en-GB"/>
        </w:rPr>
        <w:t>responsible for key EMEA territories</w:t>
      </w:r>
      <w:r w:rsidR="008159E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. </w:t>
      </w:r>
      <w:r w:rsidR="00F8353E" w:rsidRPr="00F8353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An ambitious sales person with </w:t>
      </w:r>
      <w:r w:rsidR="00DC0E73">
        <w:rPr>
          <w:rFonts w:eastAsiaTheme="minorEastAsia" w:cs="Calibri,Bold"/>
          <w:b/>
          <w:bCs/>
          <w:sz w:val="24"/>
          <w:szCs w:val="24"/>
          <w:lang w:eastAsia="en-GB"/>
        </w:rPr>
        <w:t>strong</w:t>
      </w:r>
      <w:r w:rsidR="00F8353E" w:rsidRPr="00F8353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experience and a track record of increasing revenues in traditional &amp; digital media (SVOD / AVOD) as well as licensing high calib</w:t>
      </w:r>
      <w:r w:rsidR="0086216F">
        <w:rPr>
          <w:rFonts w:eastAsiaTheme="minorEastAsia" w:cs="Calibri,Bold"/>
          <w:b/>
          <w:bCs/>
          <w:sz w:val="24"/>
          <w:szCs w:val="24"/>
          <w:lang w:eastAsia="en-GB"/>
        </w:rPr>
        <w:t>re</w:t>
      </w:r>
      <w:r w:rsidR="00F8353E" w:rsidRPr="00F8353E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scripted programs, major feature films, unscripted programming and local productions.   </w:t>
      </w:r>
    </w:p>
    <w:p w14:paraId="607A129A" w14:textId="77777777" w:rsidR="0089232D" w:rsidRDefault="0089232D" w:rsidP="00D32DF4">
      <w:pPr>
        <w:jc w:val="both"/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</w:pPr>
    </w:p>
    <w:p w14:paraId="37E6EC69" w14:textId="237BD3D3" w:rsidR="00D32DF4" w:rsidRDefault="00097154" w:rsidP="00D32DF4">
      <w:pPr>
        <w:jc w:val="both"/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  <w:t>Key Responsibilities include:</w:t>
      </w:r>
    </w:p>
    <w:p w14:paraId="1374233F" w14:textId="48ABB703" w:rsidR="005955F4" w:rsidRPr="00DC0E73" w:rsidRDefault="005955F4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Structuring ambitious budget targets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implementing strategy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for </w:t>
      </w:r>
      <w:r w:rsidR="00DC0E73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television sales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business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in line with overall global Lionsgate strategy;</w:t>
      </w:r>
    </w:p>
    <w:p w14:paraId="30BE364E" w14:textId="0BECA283" w:rsidR="007671A0" w:rsidRPr="00DC0E73" w:rsidRDefault="005955F4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Taking responsibility for long term </w:t>
      </w:r>
      <w:r w:rsidR="009F1DB2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annual/quarterly 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sales </w:t>
      </w:r>
      <w:r w:rsidR="00453D08" w:rsidRPr="00DC0E73">
        <w:rPr>
          <w:rFonts w:eastAsiaTheme="minorEastAsia" w:cs="Calibri,Bold"/>
          <w:bCs/>
          <w:sz w:val="24"/>
          <w:szCs w:val="24"/>
          <w:lang w:eastAsia="en-GB"/>
        </w:rPr>
        <w:t>budget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</w:t>
      </w:r>
      <w:r w:rsidR="009F1DB2" w:rsidRPr="00DC0E73">
        <w:rPr>
          <w:rFonts w:eastAsiaTheme="minorEastAsia" w:cs="Calibri,Bold"/>
          <w:bCs/>
          <w:sz w:val="24"/>
          <w:szCs w:val="24"/>
          <w:lang w:eastAsia="en-GB"/>
        </w:rPr>
        <w:t>growing revenues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>;</w:t>
      </w:r>
    </w:p>
    <w:p w14:paraId="3108520F" w14:textId="49CB9E56" w:rsidR="009F1DB2" w:rsidRPr="00DC0E73" w:rsidRDefault="007671A0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Responsible for </w:t>
      </w:r>
      <w:r w:rsidR="009F1DB2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all aspects of 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sophisticated </w:t>
      </w:r>
      <w:r w:rsidR="009F1DB2" w:rsidRPr="00DC0E73">
        <w:rPr>
          <w:rFonts w:eastAsiaTheme="minorEastAsia" w:cs="Calibri,Bold"/>
          <w:bCs/>
          <w:sz w:val="24"/>
          <w:szCs w:val="24"/>
          <w:lang w:eastAsia="en-GB"/>
        </w:rPr>
        <w:t>commercial negotiations</w:t>
      </w:r>
      <w:r w:rsidR="00453D08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to achieve strong licence fees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terms</w:t>
      </w:r>
      <w:r w:rsidR="00453D08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from the market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;</w:t>
      </w:r>
    </w:p>
    <w:p w14:paraId="2740E217" w14:textId="0CFCEB6A" w:rsidR="00D32DF4" w:rsidRPr="00DC0E73" w:rsidRDefault="00D32DF4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Foster</w:t>
      </w:r>
      <w:r w:rsidR="001A2541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>excellent</w:t>
      </w:r>
      <w:r w:rsidR="001A2541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profile of Lionsgate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maintain critical day-to-day relationships with respective TV and digital clients 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as well as senior stakeholders within their businesses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and identify new customers for relevant products.</w:t>
      </w:r>
      <w:r w:rsidR="00805672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  <w:r w:rsidR="001A2541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 </w:t>
      </w:r>
    </w:p>
    <w:p w14:paraId="7F2E619F" w14:textId="549E7C7C" w:rsidR="00805672" w:rsidRPr="00DC0E73" w:rsidRDefault="00805672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Maintain regular contact with licensees through correspondence, 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>regular in person meetings</w:t>
      </w:r>
      <w:r w:rsidR="000860A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planned events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and attendance at key programming markets. Conduct regular sales visits to designated territories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>/offices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accompany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senior Lionsgate executives </w:t>
      </w:r>
      <w:r w:rsidR="000860A4" w:rsidRPr="00DC0E73">
        <w:rPr>
          <w:rFonts w:eastAsiaTheme="minorEastAsia" w:cs="Calibri,Bold"/>
          <w:bCs/>
          <w:sz w:val="24"/>
          <w:szCs w:val="24"/>
          <w:lang w:eastAsia="en-GB"/>
        </w:rPr>
        <w:t>on trips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. </w:t>
      </w:r>
    </w:p>
    <w:p w14:paraId="316405BA" w14:textId="1A63719D" w:rsidR="00805672" w:rsidRPr="00DC0E73" w:rsidRDefault="00805672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Develop 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and take a keen interest in market developments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to maintain in-depth </w:t>
      </w:r>
      <w:r w:rsidR="007671A0" w:rsidRPr="00DC0E73">
        <w:rPr>
          <w:rFonts w:eastAsiaTheme="minorEastAsia" w:cs="Calibri,Bold"/>
          <w:bCs/>
          <w:sz w:val="24"/>
          <w:szCs w:val="24"/>
          <w:lang w:eastAsia="en-GB"/>
        </w:rPr>
        <w:t>intelligence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of the media distribution landscape.</w:t>
      </w:r>
    </w:p>
    <w:p w14:paraId="450C7534" w14:textId="77777777" w:rsidR="001A2541" w:rsidRPr="00DC0E73" w:rsidRDefault="00805672" w:rsidP="009F1DB2">
      <w:pPr>
        <w:pStyle w:val="ListParagraph"/>
        <w:numPr>
          <w:ilvl w:val="0"/>
          <w:numId w:val="12"/>
        </w:numPr>
        <w:spacing w:after="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Identify market</w:t>
      </w:r>
      <w:r w:rsidR="000860A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competitive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trends in terms of programming requirements, lo</w:t>
      </w:r>
      <w:r w:rsidR="00DC5117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cal content/quota regulations,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audience preferences and local tastes</w:t>
      </w:r>
      <w:r w:rsidR="001A2541" w:rsidRPr="00DC0E73">
        <w:rPr>
          <w:rFonts w:eastAsiaTheme="minorEastAsia" w:cs="Calibri,Bold"/>
          <w:bCs/>
          <w:sz w:val="24"/>
          <w:szCs w:val="24"/>
          <w:lang w:eastAsia="en-GB"/>
        </w:rPr>
        <w:t>;</w:t>
      </w:r>
    </w:p>
    <w:p w14:paraId="5BF60E14" w14:textId="60550168" w:rsidR="00D32DF4" w:rsidRPr="00DC0E73" w:rsidRDefault="00D32DF4" w:rsidP="009F1D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Effect the closure of deals by liaising with Lega</w:t>
      </w:r>
      <w:r w:rsidR="00DC5117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l Affairs, Rights &amp; Clearances to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ensur</w:t>
      </w:r>
      <w:r w:rsidR="00DC5117" w:rsidRPr="00DC0E73">
        <w:rPr>
          <w:rFonts w:eastAsiaTheme="minorEastAsia" w:cs="Calibri,Bold"/>
          <w:bCs/>
          <w:sz w:val="24"/>
          <w:szCs w:val="24"/>
          <w:lang w:eastAsia="en-GB"/>
        </w:rPr>
        <w:t>e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 streamlined process</w:t>
      </w:r>
      <w:r w:rsidR="000860A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</w:t>
      </w:r>
      <w:r w:rsidR="00DC0E73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attention to detail with </w:t>
      </w:r>
      <w:r w:rsidR="000860A4" w:rsidRPr="00DC0E73">
        <w:rPr>
          <w:rFonts w:eastAsiaTheme="minorEastAsia" w:cs="Calibri,Bold"/>
          <w:bCs/>
          <w:sz w:val="24"/>
          <w:szCs w:val="24"/>
          <w:lang w:eastAsia="en-GB"/>
        </w:rPr>
        <w:t>contract finalisation</w:t>
      </w:r>
      <w:r w:rsidR="00453D08" w:rsidRPr="00DC0E73">
        <w:rPr>
          <w:rFonts w:eastAsiaTheme="minorEastAsia" w:cs="Calibri,Bold"/>
          <w:bCs/>
          <w:sz w:val="24"/>
          <w:szCs w:val="24"/>
          <w:lang w:eastAsia="en-GB"/>
        </w:rPr>
        <w:t>;</w:t>
      </w:r>
    </w:p>
    <w:p w14:paraId="3FEED34C" w14:textId="76D03724" w:rsidR="001A2541" w:rsidRPr="00DC0E73" w:rsidRDefault="001A2541" w:rsidP="009F1D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lastRenderedPageBreak/>
        <w:t>Maintain sound deal management of finalised agreements;</w:t>
      </w:r>
    </w:p>
    <w:p w14:paraId="505DD5E5" w14:textId="74D9CE42" w:rsidR="000860A4" w:rsidRPr="00DC0E73" w:rsidRDefault="000860A4" w:rsidP="009F1DB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Develop excellent working relationship with other Lionsgate divisions including MPG in both UK and US – ability to represent interests and needs of LG Int’l TV across different divisions.</w:t>
      </w:r>
    </w:p>
    <w:p w14:paraId="1947A835" w14:textId="77777777" w:rsidR="00D32DF4" w:rsidRPr="00DC0E73" w:rsidRDefault="00D32DF4" w:rsidP="009F1DB2">
      <w:pPr>
        <w:spacing w:after="0" w:line="240" w:lineRule="auto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6D0CB113" w14:textId="77777777" w:rsidR="008159EE" w:rsidRPr="00DC0E73" w:rsidRDefault="008159EE" w:rsidP="00D32DF4">
      <w:pPr>
        <w:spacing w:after="0" w:line="240" w:lineRule="auto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1AF20C1B" w14:textId="77777777" w:rsidR="009B7C9A" w:rsidRPr="00DC0E73" w:rsidRDefault="009B7C9A" w:rsidP="009B7C9A">
      <w:pPr>
        <w:jc w:val="both"/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</w:pPr>
      <w:r w:rsidRPr="00DC0E73">
        <w:rPr>
          <w:rFonts w:eastAsiaTheme="minorEastAsia" w:cs="Calibri,Bold"/>
          <w:b/>
          <w:bCs/>
          <w:sz w:val="24"/>
          <w:szCs w:val="24"/>
          <w:u w:val="single"/>
          <w:lang w:eastAsia="en-GB"/>
        </w:rPr>
        <w:t>Experience Required:</w:t>
      </w:r>
    </w:p>
    <w:p w14:paraId="52C7385B" w14:textId="317944E4" w:rsidR="009B7C9A" w:rsidRPr="00DC0E73" w:rsidRDefault="00E97241" w:rsidP="009B7C9A">
      <w:pPr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="009B7C9A" w:rsidRPr="00DC0E73">
        <w:rPr>
          <w:rFonts w:eastAsiaTheme="minorEastAsia" w:cs="Calibri,Bold"/>
          <w:bCs/>
          <w:sz w:val="24"/>
          <w:szCs w:val="24"/>
          <w:lang w:eastAsia="en-GB"/>
        </w:rPr>
        <w:tab/>
      </w:r>
      <w:r w:rsidR="008159EE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Ability to demonstrate </w:t>
      </w:r>
      <w:r w:rsidR="009B7C9A" w:rsidRPr="00DC0E73">
        <w:rPr>
          <w:rFonts w:eastAsiaTheme="minorEastAsia" w:cs="Calibri,Bold"/>
          <w:bCs/>
          <w:sz w:val="24"/>
          <w:szCs w:val="24"/>
          <w:lang w:eastAsia="en-GB"/>
        </w:rPr>
        <w:t>significant top-line sales growth in a highly competitive, rapidly changing environment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proactive regarding new business opportunities;</w:t>
      </w:r>
    </w:p>
    <w:p w14:paraId="1356DF16" w14:textId="59514EB8" w:rsidR="00453D08" w:rsidRPr="00DC0E73" w:rsidRDefault="00453D08" w:rsidP="00453D08">
      <w:pPr>
        <w:pStyle w:val="ListParagraph"/>
        <w:numPr>
          <w:ilvl w:val="0"/>
          <w:numId w:val="23"/>
        </w:numPr>
        <w:spacing w:after="160" w:line="252" w:lineRule="auto"/>
        <w:jc w:val="both"/>
        <w:rPr>
          <w:rFonts w:eastAsia="Times New Roman"/>
          <w:sz w:val="24"/>
          <w:szCs w:val="24"/>
          <w:lang w:val="en-US"/>
        </w:rPr>
      </w:pPr>
      <w:r w:rsidRPr="00DC0E73">
        <w:rPr>
          <w:rFonts w:eastAsia="Times New Roman"/>
          <w:sz w:val="24"/>
          <w:szCs w:val="24"/>
          <w:lang w:val="en-US"/>
        </w:rPr>
        <w:t>Sound deal analysis and estimate modelling skills for long term value of content using range of resources/verifiable information across multiple media and windows;</w:t>
      </w:r>
    </w:p>
    <w:p w14:paraId="3FC9DF03" w14:textId="70C4570F" w:rsidR="00AF6168" w:rsidRPr="00DC0E73" w:rsidRDefault="009B7C9A" w:rsidP="005955F4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</w:r>
      <w:r w:rsidR="001A2541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Proven track record of building,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meet</w:t>
      </w:r>
      <w:r w:rsidR="001A2541" w:rsidRPr="00DC0E73">
        <w:rPr>
          <w:rFonts w:eastAsiaTheme="minorEastAsia" w:cs="Calibri,Bold"/>
          <w:bCs/>
          <w:sz w:val="24"/>
          <w:szCs w:val="24"/>
          <w:lang w:eastAsia="en-GB"/>
        </w:rPr>
        <w:t>ing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exceed</w:t>
      </w:r>
      <w:r w:rsidR="001A2541" w:rsidRPr="00DC0E73">
        <w:rPr>
          <w:rFonts w:eastAsiaTheme="minorEastAsia" w:cs="Calibri,Bold"/>
          <w:bCs/>
          <w:sz w:val="24"/>
          <w:szCs w:val="24"/>
          <w:lang w:eastAsia="en-GB"/>
        </w:rPr>
        <w:t>ing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sales targets</w:t>
      </w:r>
      <w:r w:rsidR="005955F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 long term budgets;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</w:p>
    <w:p w14:paraId="3E7D5BC5" w14:textId="2831A2C4" w:rsidR="0086216F" w:rsidRPr="00DC0E73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</w:r>
      <w:r w:rsidR="008159EE" w:rsidRPr="00DC0E73">
        <w:rPr>
          <w:rFonts w:eastAsiaTheme="minorEastAsia" w:cs="Calibri,Bold"/>
          <w:bCs/>
          <w:sz w:val="24"/>
          <w:szCs w:val="24"/>
          <w:lang w:eastAsia="en-GB"/>
        </w:rPr>
        <w:t>Ability to n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egotiat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e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short &amp; long-term distribution deals with broadcasters and 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digital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platforms for a variety of programming (including film</w:t>
      </w:r>
      <w:r w:rsidR="0086216F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and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TV series</w:t>
      </w:r>
      <w:r w:rsidR="0086216F" w:rsidRPr="00DC0E73">
        <w:rPr>
          <w:rFonts w:eastAsiaTheme="minorEastAsia" w:cs="Calibri,Bold"/>
          <w:bCs/>
          <w:sz w:val="24"/>
          <w:szCs w:val="24"/>
          <w:lang w:eastAsia="en-GB"/>
        </w:rPr>
        <w:t>.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) 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</w:t>
      </w:r>
    </w:p>
    <w:p w14:paraId="4B262428" w14:textId="37A9F757" w:rsidR="00C96F96" w:rsidRPr="00DC0E73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  <w:t xml:space="preserve">Familiar with the programming sales and distribution environment with hands-on experience in scripted programs as well as </w:t>
      </w:r>
      <w:r w:rsidR="00AF6168" w:rsidRPr="00DC0E73">
        <w:rPr>
          <w:rFonts w:eastAsiaTheme="minorEastAsia" w:cs="Calibri,Bold"/>
          <w:bCs/>
          <w:sz w:val="24"/>
          <w:szCs w:val="24"/>
          <w:lang w:eastAsia="en-GB"/>
        </w:rPr>
        <w:t>major feature films, unscripted programming and local productions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>;</w:t>
      </w:r>
    </w:p>
    <w:p w14:paraId="42425F77" w14:textId="72E43700" w:rsidR="009B7C9A" w:rsidRPr="00DC0E73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  <w:t>Possesses an understa</w:t>
      </w:r>
      <w:r w:rsidR="008159EE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nding of </w:t>
      </w:r>
      <w:r w:rsidR="00DC0E73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European </w:t>
      </w:r>
      <w:r w:rsidR="00AF6168" w:rsidRPr="00DC0E73">
        <w:rPr>
          <w:rFonts w:eastAsiaTheme="minorEastAsia" w:cs="Calibri,Bold"/>
          <w:bCs/>
          <w:sz w:val="24"/>
          <w:szCs w:val="24"/>
          <w:lang w:eastAsia="en-GB"/>
        </w:rPr>
        <w:t>tel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evision and local production markets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with strong contacts across the business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.</w:t>
      </w:r>
    </w:p>
    <w:p w14:paraId="07553B4A" w14:textId="59458F24" w:rsidR="009B7C9A" w:rsidRPr="00DC0E73" w:rsidRDefault="009B7C9A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  <w:t xml:space="preserve">Highly organised, 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able to work independently and effectively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to meet strict business deadlines and capable of working under pressure.</w:t>
      </w:r>
    </w:p>
    <w:p w14:paraId="2EF3078F" w14:textId="200A1CB9" w:rsidR="0086216F" w:rsidRPr="00DC0E73" w:rsidRDefault="009B7C9A" w:rsidP="00DC0E73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  <w:t xml:space="preserve">Excellent communication 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and presentation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skills with the ability to confidently interact with all levels of 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Lionsgate and client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management.</w:t>
      </w:r>
    </w:p>
    <w:p w14:paraId="3C75CEE4" w14:textId="3EFCA1C0" w:rsidR="009F1DB2" w:rsidRPr="00DC0E73" w:rsidRDefault="009F1DB2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  <w:t>Education: Honours level degree or equivalent experience.</w:t>
      </w:r>
      <w:r w:rsidR="00C96F96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  </w:t>
      </w:r>
    </w:p>
    <w:p w14:paraId="0E8EE7C8" w14:textId="77777777" w:rsidR="009F1DB2" w:rsidRPr="00DC0E73" w:rsidRDefault="009F1DB2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DC0E73">
        <w:rPr>
          <w:rFonts w:eastAsiaTheme="minorEastAsia" w:cs="Calibri,Bold"/>
          <w:bCs/>
          <w:sz w:val="24"/>
          <w:szCs w:val="24"/>
          <w:lang w:eastAsia="en-GB"/>
        </w:rPr>
        <w:t>•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ab/>
      </w:r>
      <w:r w:rsidR="00097154" w:rsidRPr="00DC0E73">
        <w:rPr>
          <w:rFonts w:eastAsiaTheme="minorEastAsia" w:cs="Calibri,Bold"/>
          <w:bCs/>
          <w:sz w:val="24"/>
          <w:szCs w:val="24"/>
          <w:lang w:eastAsia="en-GB"/>
        </w:rPr>
        <w:t xml:space="preserve">European </w:t>
      </w:r>
      <w:r w:rsidRPr="00DC0E73">
        <w:rPr>
          <w:rFonts w:eastAsiaTheme="minorEastAsia" w:cs="Calibri,Bold"/>
          <w:bCs/>
          <w:sz w:val="24"/>
          <w:szCs w:val="24"/>
          <w:lang w:eastAsia="en-GB"/>
        </w:rPr>
        <w:t>languages an advantage.</w:t>
      </w:r>
    </w:p>
    <w:p w14:paraId="1B5EAD2A" w14:textId="77777777" w:rsidR="009F1DB2" w:rsidRDefault="009F1DB2" w:rsidP="009F1DB2">
      <w:pPr>
        <w:spacing w:after="0"/>
        <w:ind w:left="720" w:hanging="720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318F953F" w14:textId="77777777" w:rsidR="00A64FB8" w:rsidRDefault="00A64FB8" w:rsidP="008159EE">
      <w:pPr>
        <w:jc w:val="both"/>
        <w:rPr>
          <w:b/>
          <w:i/>
        </w:rPr>
      </w:pPr>
    </w:p>
    <w:p w14:paraId="39E8EC6D" w14:textId="1E58039E" w:rsidR="008159EE" w:rsidRPr="00217E3A" w:rsidRDefault="008159EE" w:rsidP="008159EE">
      <w:pPr>
        <w:jc w:val="both"/>
        <w:rPr>
          <w:b/>
          <w:i/>
        </w:rPr>
      </w:pPr>
      <w:r w:rsidRPr="00217E3A">
        <w:rPr>
          <w:b/>
          <w:i/>
        </w:rPr>
        <w:t>Our objective is to source candidates who demonstrate our global values:</w:t>
      </w:r>
    </w:p>
    <w:p w14:paraId="37C2DAE1" w14:textId="77777777"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Resourcefulness – We redefine what is possible.</w:t>
      </w:r>
    </w:p>
    <w:p w14:paraId="4953B5F1" w14:textId="77777777"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Innovation – We challenge the status quo in order to foster bold thinking and outcomes.</w:t>
      </w:r>
    </w:p>
    <w:p w14:paraId="2B77ADFA" w14:textId="77777777"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Collaboration – We connect people and ideas to ensure all voices are heard.</w:t>
      </w:r>
    </w:p>
    <w:p w14:paraId="295A17FA" w14:textId="77777777"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Inclusiveness – We pursue and embrace diverse talent and perspectives.</w:t>
      </w:r>
    </w:p>
    <w:p w14:paraId="0056A897" w14:textId="77777777" w:rsidR="008159EE" w:rsidRPr="00217E3A" w:rsidRDefault="008159EE" w:rsidP="008159EE">
      <w:pPr>
        <w:jc w:val="both"/>
        <w:rPr>
          <w:i/>
        </w:rPr>
      </w:pPr>
      <w:r w:rsidRPr="00217E3A">
        <w:rPr>
          <w:i/>
        </w:rPr>
        <w:t>Empowerment – We equip and entrust our people to cultivate growth and advance our mission.</w:t>
      </w:r>
    </w:p>
    <w:p w14:paraId="178E695F" w14:textId="77777777" w:rsidR="008159EE" w:rsidRPr="0086216F" w:rsidRDefault="008159EE" w:rsidP="008159EE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217E3A">
        <w:rPr>
          <w:i/>
        </w:rPr>
        <w:lastRenderedPageBreak/>
        <w:t>Integrity – We respect all individuals and honour our commitments to one another.</w:t>
      </w:r>
    </w:p>
    <w:p w14:paraId="4D6D240D" w14:textId="77777777" w:rsidR="009B7C9A" w:rsidRPr="009B7C9A" w:rsidRDefault="009B7C9A" w:rsidP="009B7C9A">
      <w:pPr>
        <w:pStyle w:val="ListParagraph"/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6F0CD3F4" w14:textId="77777777" w:rsidR="009B7C9A" w:rsidRPr="009B7C9A" w:rsidRDefault="009B7C9A" w:rsidP="009B7C9A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5A2C23C3" w14:textId="77777777" w:rsidR="009B7C9A" w:rsidRPr="009B7C9A" w:rsidRDefault="009B7C9A" w:rsidP="009B7C9A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sectPr w:rsidR="009B7C9A" w:rsidRPr="009B7C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A117" w14:textId="77777777" w:rsidR="00626825" w:rsidRDefault="00626825" w:rsidP="00A17EC6">
      <w:pPr>
        <w:spacing w:after="0" w:line="240" w:lineRule="auto"/>
      </w:pPr>
      <w:r>
        <w:separator/>
      </w:r>
    </w:p>
  </w:endnote>
  <w:endnote w:type="continuationSeparator" w:id="0">
    <w:p w14:paraId="5F5B00DD" w14:textId="77777777" w:rsidR="00626825" w:rsidRDefault="00626825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01BB" w14:textId="77777777" w:rsidR="00626825" w:rsidRDefault="00626825" w:rsidP="00A17EC6">
      <w:pPr>
        <w:spacing w:after="0" w:line="240" w:lineRule="auto"/>
      </w:pPr>
      <w:r>
        <w:separator/>
      </w:r>
    </w:p>
  </w:footnote>
  <w:footnote w:type="continuationSeparator" w:id="0">
    <w:p w14:paraId="2E7D84A2" w14:textId="77777777" w:rsidR="00626825" w:rsidRDefault="00626825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4326" w14:textId="77777777" w:rsidR="00AC2687" w:rsidRDefault="00AC2687">
    <w:pPr>
      <w:pStyle w:val="Header"/>
    </w:pPr>
    <w:r>
      <w:rPr>
        <w:noProof/>
        <w:lang w:val="en-US"/>
      </w:rPr>
      <w:drawing>
        <wp:inline distT="0" distB="0" distL="0" distR="0" wp14:anchorId="1321CB8C" wp14:editId="128A7488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507A"/>
    <w:multiLevelType w:val="hybridMultilevel"/>
    <w:tmpl w:val="1BEC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700E"/>
    <w:multiLevelType w:val="hybridMultilevel"/>
    <w:tmpl w:val="4CDC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5022"/>
    <w:multiLevelType w:val="hybridMultilevel"/>
    <w:tmpl w:val="CF9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7CB"/>
    <w:multiLevelType w:val="hybridMultilevel"/>
    <w:tmpl w:val="D87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23C3"/>
    <w:multiLevelType w:val="hybridMultilevel"/>
    <w:tmpl w:val="70E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0E1E"/>
    <w:multiLevelType w:val="hybridMultilevel"/>
    <w:tmpl w:val="8F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FF0"/>
    <w:multiLevelType w:val="hybridMultilevel"/>
    <w:tmpl w:val="8568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55C19"/>
    <w:multiLevelType w:val="hybridMultilevel"/>
    <w:tmpl w:val="3812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B00A1"/>
    <w:multiLevelType w:val="hybridMultilevel"/>
    <w:tmpl w:val="C2CE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3D9E"/>
    <w:multiLevelType w:val="hybridMultilevel"/>
    <w:tmpl w:val="097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A0544"/>
    <w:multiLevelType w:val="hybridMultilevel"/>
    <w:tmpl w:val="6226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B5F43"/>
    <w:multiLevelType w:val="hybridMultilevel"/>
    <w:tmpl w:val="B308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1BBD"/>
    <w:multiLevelType w:val="hybridMultilevel"/>
    <w:tmpl w:val="AC1C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C18"/>
    <w:multiLevelType w:val="hybridMultilevel"/>
    <w:tmpl w:val="D5FA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65D1E"/>
    <w:multiLevelType w:val="hybridMultilevel"/>
    <w:tmpl w:val="FE7C5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5D1146"/>
    <w:multiLevelType w:val="hybridMultilevel"/>
    <w:tmpl w:val="9A02E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796542"/>
    <w:multiLevelType w:val="hybridMultilevel"/>
    <w:tmpl w:val="AD72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16B"/>
    <w:multiLevelType w:val="hybridMultilevel"/>
    <w:tmpl w:val="F55C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F6EC5"/>
    <w:multiLevelType w:val="hybridMultilevel"/>
    <w:tmpl w:val="9DA89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284D16">
      <w:numFmt w:val="bullet"/>
      <w:lvlText w:val="-"/>
      <w:lvlJc w:val="left"/>
      <w:pPr>
        <w:ind w:left="1260" w:hanging="54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16"/>
  </w:num>
  <w:num w:numId="5">
    <w:abstractNumId w:val="0"/>
  </w:num>
  <w:num w:numId="6">
    <w:abstractNumId w:val="22"/>
  </w:num>
  <w:num w:numId="7">
    <w:abstractNumId w:val="21"/>
  </w:num>
  <w:num w:numId="8">
    <w:abstractNumId w:val="6"/>
  </w:num>
  <w:num w:numId="9">
    <w:abstractNumId w:val="15"/>
  </w:num>
  <w:num w:numId="10">
    <w:abstractNumId w:val="7"/>
  </w:num>
  <w:num w:numId="11">
    <w:abstractNumId w:val="20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12"/>
  </w:num>
  <w:num w:numId="17">
    <w:abstractNumId w:val="11"/>
  </w:num>
  <w:num w:numId="18">
    <w:abstractNumId w:val="2"/>
  </w:num>
  <w:num w:numId="19">
    <w:abstractNumId w:val="8"/>
  </w:num>
  <w:num w:numId="20">
    <w:abstractNumId w:val="17"/>
  </w:num>
  <w:num w:numId="21">
    <w:abstractNumId w:val="19"/>
  </w:num>
  <w:num w:numId="22">
    <w:abstractNumId w:val="5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14A4A"/>
    <w:rsid w:val="00057A26"/>
    <w:rsid w:val="00062B62"/>
    <w:rsid w:val="000635B5"/>
    <w:rsid w:val="00066F8E"/>
    <w:rsid w:val="000860A4"/>
    <w:rsid w:val="00097154"/>
    <w:rsid w:val="0016234F"/>
    <w:rsid w:val="001A2541"/>
    <w:rsid w:val="001C38DA"/>
    <w:rsid w:val="001C5CCE"/>
    <w:rsid w:val="001D24E3"/>
    <w:rsid w:val="002A5EE8"/>
    <w:rsid w:val="002F305F"/>
    <w:rsid w:val="002F55C5"/>
    <w:rsid w:val="003B39E2"/>
    <w:rsid w:val="00453D08"/>
    <w:rsid w:val="004E0D09"/>
    <w:rsid w:val="005309F0"/>
    <w:rsid w:val="00544D73"/>
    <w:rsid w:val="005955F4"/>
    <w:rsid w:val="0061412A"/>
    <w:rsid w:val="00626825"/>
    <w:rsid w:val="00633700"/>
    <w:rsid w:val="006E2257"/>
    <w:rsid w:val="006F568D"/>
    <w:rsid w:val="007139A8"/>
    <w:rsid w:val="00741561"/>
    <w:rsid w:val="007671A0"/>
    <w:rsid w:val="00793D35"/>
    <w:rsid w:val="007A63DA"/>
    <w:rsid w:val="00805672"/>
    <w:rsid w:val="008159EE"/>
    <w:rsid w:val="0086216F"/>
    <w:rsid w:val="0089232D"/>
    <w:rsid w:val="0089587A"/>
    <w:rsid w:val="008C35E5"/>
    <w:rsid w:val="00902021"/>
    <w:rsid w:val="0096579F"/>
    <w:rsid w:val="009B7C9A"/>
    <w:rsid w:val="009F1DB2"/>
    <w:rsid w:val="009F44F1"/>
    <w:rsid w:val="00A11D41"/>
    <w:rsid w:val="00A17EC6"/>
    <w:rsid w:val="00A471B0"/>
    <w:rsid w:val="00A64FB8"/>
    <w:rsid w:val="00A838DE"/>
    <w:rsid w:val="00A9786E"/>
    <w:rsid w:val="00AC2687"/>
    <w:rsid w:val="00AF6168"/>
    <w:rsid w:val="00B5045D"/>
    <w:rsid w:val="00C93204"/>
    <w:rsid w:val="00C96F96"/>
    <w:rsid w:val="00D32DF4"/>
    <w:rsid w:val="00DB5501"/>
    <w:rsid w:val="00DC0E73"/>
    <w:rsid w:val="00DC5117"/>
    <w:rsid w:val="00DD7C30"/>
    <w:rsid w:val="00E90372"/>
    <w:rsid w:val="00E967AC"/>
    <w:rsid w:val="00E97241"/>
    <w:rsid w:val="00F56DD8"/>
    <w:rsid w:val="00F8353E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98E7"/>
  <w15:docId w15:val="{0108B42E-6273-4DA9-ADD7-1B2A3CA9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Sheona Norton</cp:lastModifiedBy>
  <cp:revision>2</cp:revision>
  <cp:lastPrinted>2016-10-24T16:01:00Z</cp:lastPrinted>
  <dcterms:created xsi:type="dcterms:W3CDTF">2022-07-20T14:27:00Z</dcterms:created>
  <dcterms:modified xsi:type="dcterms:W3CDTF">2022-07-20T14:27:00Z</dcterms:modified>
</cp:coreProperties>
</file>